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7A" w:rsidRDefault="00065D6C" w:rsidP="00626B7A">
      <w:pPr>
        <w:shd w:val="clear" w:color="auto" w:fill="FFFFFF"/>
        <w:spacing w:after="0" w:line="225" w:lineRule="atLeast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3.3.5.Искусство готического стиля во Франции и Германии</w:t>
      </w:r>
      <w:r w:rsidRPr="00065D6C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065D6C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="00A748DC" w:rsidRPr="00A748D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3503" cy="2655735"/>
            <wp:effectExtent l="19050" t="0" r="49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39" cy="26578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26B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Собор Парижской Богоматери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строился более 180 лет с 1163г. по 1345г. </w:t>
      </w:r>
    </w:p>
    <w:p w:rsidR="00A748DC" w:rsidRDefault="00065D6C" w:rsidP="00626B7A">
      <w:pPr>
        <w:shd w:val="clear" w:color="auto" w:fill="FFFFFF"/>
        <w:spacing w:after="0" w:line="225" w:lineRule="atLeast"/>
        <w:ind w:right="965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 Собора 35 метров, длина – 130 метров, ширина – 48 метров. Собор приобрел характер нового для того времени готического стиля. Главный фасад разделен вертикально на 3 части – глубокие порталы, посвященные Страшному суду, Богоматери и св</w:t>
      </w:r>
      <w:proofErr w:type="gram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proofErr w:type="gram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нне. Горизонтально фасад имеет 3 яруса, украшен знаменитым витражом-розой. Собор знаменит витражами, скульптурами и алтарем.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Французской революции, собор объявили Храмом Разума, затем превратили в склад. Сооружение сильно пострадало, оказалось в плачевном состоянии, даже предполагался его снос. Спасли святыню парижане и роман Виктора Гюго «Собор Парижской Богоматери» (1831), вызвавший всплеск интереса к памятнику. Помимо В.Гюго, о соборе писал О.Мандельштам. По роману снят диснеевский мультфильм и множество фильмов.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соборе до сих пор играет орган, установленный в 1402 году.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Ему посвящены картины многих художников: Эдвард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Моран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Альбер Марке, Сильвий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Паолетти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Анри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Матисс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писал его чаще всех, его окна выходили на набережную, где хорошо был виден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Нотер-Дам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48DC" w:rsidRPr="00A748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5124" cy="1765189"/>
            <wp:effectExtent l="19050" t="0" r="6626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32" cy="176643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Шартрском</w:t>
      </w:r>
      <w:proofErr w:type="spellEnd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соборе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хорошо сохранились средневековые витражи, в том числе и окно-роза. Общая площадь остекления в соборе – 2044 кв.м. В витражах этого периода преобладают 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глубокие синие и красные цвета, а светлые оттенки встречаются редко.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48DC" w:rsidRPr="00A748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5653" cy="2854519"/>
            <wp:effectExtent l="19050" t="0" r="3147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78" cy="285534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48DC" w:rsidRDefault="00065D6C" w:rsidP="00626B7A">
      <w:pPr>
        <w:shd w:val="clear" w:color="auto" w:fill="FFFFFF"/>
        <w:spacing w:after="0" w:line="225" w:lineRule="atLeast"/>
        <w:ind w:right="965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9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Производство витража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сложный технологический процесс, состоящий из многих этапов: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Этап 1. Изготовление цветного стекла: стеклодувы в специальных мастерских выдували стекло с помощью трубки в сферический пузырь, затем он скатывался в цилиндрическую форму и при помощи деревянного шпателя его расплющивали в плоский прямоугольник. Цвета создавали путем добавления оксидов металлов (оксид железа, медь и марганец).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Этап 2. Разработка эскиза: художник рисовал план металлического каркаса, скрепляющего стекло, и цвета каждой детали. Далее, выбирались цвета из образцов цветных кусочков. Затем изображение в натуральную величину рисовалось углем на большом деревянном полотне, покрытом гипсом. Положение и цвет каждой фигуры были отмечены и пронумерованы.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Этап 3. Подготовка кусков стекла: из листов стекла нужного цвета вырезались кусочки нужной формы, в соответствии с эскизом.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Этап 4. Нанесение рисунка: художник прорисовывал на кусочках стекла детали рисунка в соответствии с предварительным эскизом. В качестве краски использовали «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гризаль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(специальную эмаль) – смесь оксида железа или порошка оксида меди с водой и гуммиарабиком.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Гризаль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только несколько цветов (черный и серые оттенки), поэтому художник мог только прорисовывать детали, а основой служило именно цветное стекло. После того, как роспись была закончена, она запекалась в печи при температуре 600 градусов Цельсия, чтобы закрепить цвет и создать цельное изображение, способное сохраняться многие столетия.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Этап 5. Сборка: на завершающем этапе стекла соединяли между собой свинцовыми Н-образными профилями, которые удерживали их вместе. В целях гидроизоляции и прочности конструкции, промежутки между стеклом и свинцом были заполнены смолой, а края заделаны воском. Полоски свинца спаивались вместе, образуя единую законченную конструкцию.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Последний этап развития готического стиля (</w:t>
      </w:r>
      <w:proofErr w:type="spellStart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c</w:t>
      </w:r>
      <w:proofErr w:type="spellEnd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середин</w:t>
      </w:r>
      <w:proofErr w:type="gramStart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</w:t>
      </w:r>
      <w:proofErr w:type="spellEnd"/>
      <w:proofErr w:type="gramEnd"/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XIII до середины XIV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веков) называют </w:t>
      </w:r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лучистой готикой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честь типичного для того периода орнамента в форме солнечных лучей, украшавшего изящные окна розы. Характерной чертой </w:t>
      </w:r>
      <w:r w:rsidRPr="00A74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лучистой готики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большое пространство, большие окна розы, заливающие интерьер светом. </w:t>
      </w:r>
    </w:p>
    <w:p w:rsidR="00A748DC" w:rsidRDefault="00A748DC" w:rsidP="00626B7A">
      <w:pPr>
        <w:shd w:val="clear" w:color="auto" w:fill="FFFFFF"/>
        <w:spacing w:after="0" w:line="225" w:lineRule="atLeast"/>
        <w:ind w:right="965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8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897215" cy="2822713"/>
            <wp:effectExtent l="19050" t="0" r="778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20" cy="282257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5D6C"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Вершиной позднего лучистого стиля является Святая капелла </w:t>
      </w:r>
      <w:proofErr w:type="spellStart"/>
      <w:r w:rsidR="00065D6C"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Сент-Шапель</w:t>
      </w:r>
      <w:proofErr w:type="spellEnd"/>
      <w:r w:rsidR="00065D6C"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острове Сите в Париже, возведена в 1242-1248гг.), верхний этаж которой насквозь пронизан светом и представляет собой сплошной витраж.</w:t>
      </w:r>
    </w:p>
    <w:p w:rsidR="00C77961" w:rsidRDefault="00065D6C" w:rsidP="00626B7A">
      <w:pPr>
        <w:shd w:val="clear" w:color="auto" w:fill="FFFFFF"/>
        <w:spacing w:after="0" w:line="225" w:lineRule="atLeast"/>
        <w:ind w:right="965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48DC" w:rsidRPr="00A748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34821" cy="2297927"/>
            <wp:effectExtent l="19050" t="0" r="3479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66" cy="230684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Статуя колонна – украшение откосов порталов в раннеготических храмах, представляющее собой фигуру святого плотно примыкающего к колонне. Впервые появилось сооружение в западных порталах собора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Сен-Дени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(1130-1140, фрагменты – в музее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Клюни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Париж), их изобретение приписывают аббату </w:t>
      </w:r>
      <w:proofErr w:type="spell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Сугерию</w:t>
      </w:r>
      <w:proofErr w:type="spell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77961" w:rsidRPr="00C7796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6047" cy="1929335"/>
            <wp:effectExtent l="19050" t="0" r="6653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43" cy="193357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7961" w:rsidRPr="00C7796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0540" cy="1932167"/>
            <wp:effectExtent l="19050" t="0" r="646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52" cy="19345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5D6C" w:rsidRPr="00626B7A" w:rsidRDefault="00065D6C" w:rsidP="00626B7A">
      <w:pPr>
        <w:shd w:val="clear" w:color="auto" w:fill="FFFFFF"/>
        <w:spacing w:after="0" w:line="225" w:lineRule="atLeast"/>
        <w:ind w:right="965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портале Собора Магдебурга есть скульптурная группа Девы мудрые и неразумные, они очень эмоциональны мимикой лиц.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притче о десяти девах или Мудрых и неразумных Девах рассказывается история о десяти юных девах, которые собираются в ожидании свадьбы. Каждая несет светильник, ожидая прихода жениха. Они знают, что он должен прийти </w:t>
      </w:r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ночью. Пятеро мудры и приносят дополнительный кувшин масла для своих светильников. Пятеро глупы и не берут с собой лишнего масла. Жених запаздывает с приходом; неразумные девы просят у </w:t>
      </w:r>
      <w:proofErr w:type="gramStart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мудрых</w:t>
      </w:r>
      <w:proofErr w:type="gramEnd"/>
      <w:r w:rsidRPr="00626B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лишнее масло, но они отказывают. Пока неразумные девы покупают еще масла, прибывает жених. Мудрые девы встречают жениха и идут с ним, а неразумные прибывают слишком поздно и их исключают. Притча предупреждает о тщетности позднего раскаяния.</w:t>
      </w:r>
    </w:p>
    <w:p w:rsidR="00FC6543" w:rsidRDefault="00C77961">
      <w:pPr>
        <w:rPr>
          <w:rFonts w:ascii="Times New Roman" w:hAnsi="Times New Roman" w:cs="Times New Roman"/>
          <w:sz w:val="24"/>
          <w:szCs w:val="24"/>
        </w:rPr>
      </w:pPr>
      <w:r w:rsidRPr="00C779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716" cy="2345635"/>
            <wp:effectExtent l="19050" t="0" r="2484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80" cy="234530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7961" w:rsidRDefault="00C77961">
      <w:pPr>
        <w:rPr>
          <w:rFonts w:ascii="Times New Roman" w:hAnsi="Times New Roman" w:cs="Times New Roman"/>
          <w:sz w:val="24"/>
          <w:szCs w:val="24"/>
        </w:rPr>
      </w:pPr>
      <w:r w:rsidRPr="00C77961">
        <w:rPr>
          <w:rFonts w:ascii="Times New Roman" w:hAnsi="Times New Roman" w:cs="Times New Roman"/>
          <w:sz w:val="24"/>
          <w:szCs w:val="24"/>
        </w:rPr>
        <w:t xml:space="preserve">Собор в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Наумбурге</w:t>
      </w:r>
      <w:proofErr w:type="spellEnd"/>
      <w:r w:rsidRPr="00C77961">
        <w:rPr>
          <w:rFonts w:ascii="Times New Roman" w:hAnsi="Times New Roman" w:cs="Times New Roman"/>
          <w:sz w:val="24"/>
          <w:szCs w:val="24"/>
        </w:rPr>
        <w:t xml:space="preserve">. Рельефы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леттнера</w:t>
      </w:r>
      <w:proofErr w:type="spellEnd"/>
      <w:r w:rsidRPr="00C77961">
        <w:rPr>
          <w:rFonts w:ascii="Times New Roman" w:hAnsi="Times New Roman" w:cs="Times New Roman"/>
          <w:sz w:val="24"/>
          <w:szCs w:val="24"/>
        </w:rPr>
        <w:t>. «Тайная вечеря» и Иуда, получающий деньги от первосвященника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961" w:rsidRDefault="00C77961">
      <w:pPr>
        <w:rPr>
          <w:rFonts w:ascii="Times New Roman" w:hAnsi="Times New Roman" w:cs="Times New Roman"/>
          <w:sz w:val="24"/>
          <w:szCs w:val="24"/>
        </w:rPr>
      </w:pPr>
      <w:r w:rsidRPr="00C779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627" cy="197987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60" cy="198074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961">
        <w:rPr>
          <w:rFonts w:ascii="Times New Roman" w:hAnsi="Times New Roman" w:cs="Times New Roman"/>
          <w:sz w:val="24"/>
          <w:szCs w:val="24"/>
        </w:rPr>
        <w:t xml:space="preserve">Собор в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Наумбурге</w:t>
      </w:r>
      <w:proofErr w:type="spellEnd"/>
      <w:r w:rsidRPr="00C77961">
        <w:rPr>
          <w:rFonts w:ascii="Times New Roman" w:hAnsi="Times New Roman" w:cs="Times New Roman"/>
          <w:sz w:val="24"/>
          <w:szCs w:val="24"/>
        </w:rPr>
        <w:t xml:space="preserve">. Статуи донаторов в интерьере хора. Портреты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Эккехарда</w:t>
      </w:r>
      <w:proofErr w:type="spellEnd"/>
      <w:r w:rsidRPr="00C779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Уты</w:t>
      </w:r>
      <w:proofErr w:type="spellEnd"/>
    </w:p>
    <w:p w:rsidR="00C77961" w:rsidRDefault="00C77961">
      <w:pPr>
        <w:rPr>
          <w:rFonts w:ascii="Times New Roman" w:hAnsi="Times New Roman" w:cs="Times New Roman"/>
          <w:sz w:val="24"/>
          <w:szCs w:val="24"/>
        </w:rPr>
      </w:pPr>
      <w:r w:rsidRPr="00C779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2630" cy="1327868"/>
            <wp:effectExtent l="19050" t="0" r="762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2" cy="132768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77961">
        <w:rPr>
          <w:rFonts w:ascii="Times New Roman" w:hAnsi="Times New Roman" w:cs="Times New Roman"/>
          <w:sz w:val="24"/>
          <w:szCs w:val="24"/>
        </w:rPr>
        <w:t xml:space="preserve">Статуи из собора в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Наумбурге</w:t>
      </w:r>
      <w:proofErr w:type="spellEnd"/>
      <w:r w:rsidRPr="00C779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961" w:rsidRPr="00626B7A" w:rsidRDefault="00C77961">
      <w:pPr>
        <w:rPr>
          <w:rFonts w:ascii="Times New Roman" w:hAnsi="Times New Roman" w:cs="Times New Roman"/>
          <w:sz w:val="24"/>
          <w:szCs w:val="24"/>
        </w:rPr>
      </w:pPr>
      <w:r w:rsidRPr="00C77961">
        <w:rPr>
          <w:rFonts w:ascii="Times New Roman" w:hAnsi="Times New Roman" w:cs="Times New Roman"/>
          <w:sz w:val="24"/>
          <w:szCs w:val="24"/>
        </w:rPr>
        <w:t xml:space="preserve"> Портреты Германа и </w:t>
      </w:r>
      <w:proofErr w:type="spellStart"/>
      <w:r w:rsidRPr="00C77961">
        <w:rPr>
          <w:rFonts w:ascii="Times New Roman" w:hAnsi="Times New Roman" w:cs="Times New Roman"/>
          <w:sz w:val="24"/>
          <w:szCs w:val="24"/>
        </w:rPr>
        <w:t>Риглинды</w:t>
      </w:r>
      <w:proofErr w:type="spellEnd"/>
    </w:p>
    <w:sectPr w:rsidR="00C77961" w:rsidRPr="00626B7A" w:rsidSect="00FC6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010446"/>
    <w:multiLevelType w:val="multilevel"/>
    <w:tmpl w:val="2A9C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65D6C"/>
    <w:rsid w:val="00065D6C"/>
    <w:rsid w:val="00626B7A"/>
    <w:rsid w:val="00A748DC"/>
    <w:rsid w:val="00AB7409"/>
    <w:rsid w:val="00BB5B13"/>
    <w:rsid w:val="00C77961"/>
    <w:rsid w:val="00D77038"/>
    <w:rsid w:val="00F116B7"/>
    <w:rsid w:val="00FC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9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5076">
          <w:marLeft w:val="676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812">
          <w:marLeft w:val="676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2</cp:revision>
  <dcterms:created xsi:type="dcterms:W3CDTF">2024-01-08T13:50:00Z</dcterms:created>
  <dcterms:modified xsi:type="dcterms:W3CDTF">2024-01-08T13:50:00Z</dcterms:modified>
</cp:coreProperties>
</file>